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416C6" w14:textId="77777777" w:rsidR="00B62DEE" w:rsidRDefault="00126A04">
      <w:pPr>
        <w:spacing w:after="80"/>
        <w:jc w:val="center"/>
      </w:pPr>
      <w:r>
        <w:rPr>
          <w:b/>
          <w:bCs/>
          <w:color w:val="1F3864"/>
          <w:sz w:val="40"/>
          <w:szCs w:val="40"/>
        </w:rPr>
        <w:t>Best Case Scenario Competition</w:t>
      </w:r>
    </w:p>
    <w:p w14:paraId="123A9CA6" w14:textId="77777777" w:rsidR="00B62DEE" w:rsidRDefault="00126A04">
      <w:pPr>
        <w:spacing w:after="40"/>
        <w:jc w:val="center"/>
      </w:pPr>
      <w:r>
        <w:rPr>
          <w:b/>
          <w:bCs/>
          <w:color w:val="B8860B"/>
          <w:sz w:val="24"/>
          <w:szCs w:val="24"/>
        </w:rPr>
        <w:t>Hematopoietic Stem Cell Transplantation · Solid Organ Transplantation · Immunogenetics</w:t>
      </w:r>
    </w:p>
    <w:p w14:paraId="6D984360" w14:textId="621D11F5" w:rsidR="00B62DEE" w:rsidRDefault="00661E56">
      <w:pPr>
        <w:spacing w:after="300"/>
        <w:jc w:val="center"/>
      </w:pPr>
      <w:r>
        <w:rPr>
          <w:i/>
          <w:iCs/>
          <w:color w:val="555555"/>
        </w:rPr>
        <w:t>ARSHI-TIGED Conference Panel Discussion — Call for Case Submissions</w:t>
      </w:r>
    </w:p>
    <w:p w14:paraId="055DA720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1. Overview &amp; Objectives</w:t>
      </w:r>
    </w:p>
    <w:p w14:paraId="74E123CE" w14:textId="77777777" w:rsidR="00B62DEE" w:rsidRDefault="00126A04">
      <w:pPr>
        <w:spacing w:after="120"/>
      </w:pPr>
      <w:r>
        <w:rPr>
          <w:sz w:val="21"/>
          <w:szCs w:val="21"/>
        </w:rPr>
        <w:t>This competition invites histocompatibility, immunogenetics, and transplantation professionals to submit real, de-identified clinical or laboratory cases that best demonstrate the value of immunogenetic and HLA data in guiding diagnosis, donor selection, and clinical decision-making. The top three cases in each of three categories will be selected for oral presentation and discussion by an expert panel at the conference.</w:t>
      </w:r>
    </w:p>
    <w:p w14:paraId="7C2783FA" w14:textId="77777777" w:rsidR="00B62DEE" w:rsidRDefault="00126A04">
      <w:pPr>
        <w:spacing w:after="120"/>
      </w:pPr>
      <w:r>
        <w:rPr>
          <w:sz w:val="21"/>
          <w:szCs w:val="21"/>
        </w:rPr>
        <w:t>Objectives:</w:t>
      </w:r>
    </w:p>
    <w:p w14:paraId="12FF0EA0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Showcase best practices in HLA typing, antibody assessment, and immunogenetic decision support across HSCT, solid organ transplantation, and translational immunogenetics.</w:t>
      </w:r>
    </w:p>
    <w:p w14:paraId="5DE0CCE4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Provide a structured, peer-reviewed platform for knowledge exchange among laboratory directors, clinicians, and researchers.</w:t>
      </w:r>
    </w:p>
    <w:p w14:paraId="14212C95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Generate high-quality, discussion-worthy material for the conference panel session.</w:t>
      </w:r>
    </w:p>
    <w:p w14:paraId="57B81D3B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Recognize excellence in immunogenetic problem-solving and case documentation.</w:t>
      </w:r>
    </w:p>
    <w:p w14:paraId="4D4636C0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2. Competition Categories</w:t>
      </w:r>
    </w:p>
    <w:p w14:paraId="19AF472F" w14:textId="77777777" w:rsidR="00B62DEE" w:rsidRDefault="00126A04">
      <w:pPr>
        <w:spacing w:after="120"/>
      </w:pPr>
      <w:r>
        <w:rPr>
          <w:sz w:val="21"/>
          <w:szCs w:val="21"/>
        </w:rPr>
        <w:t>Submissions are accepted in three parallel categories. Each category will independently select its top 3 cases; there is no cross-category ranking.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3780"/>
        <w:gridCol w:w="3780"/>
      </w:tblGrid>
      <w:tr w:rsidR="00B62DEE" w14:paraId="10FBE715" w14:textId="77777777">
        <w:trPr>
          <w:tblHeader/>
        </w:trPr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4A8AF9" w14:textId="77777777" w:rsidR="00B62DEE" w:rsidRDefault="00126A04">
            <w:r>
              <w:rPr>
                <w:b/>
                <w:bCs/>
                <w:color w:val="FFFFFF"/>
              </w:rPr>
              <w:t>Category</w:t>
            </w:r>
          </w:p>
        </w:tc>
        <w:tc>
          <w:tcPr>
            <w:tcW w:w="378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C2556F" w14:textId="77777777" w:rsidR="00B62DEE" w:rsidRDefault="00126A04">
            <w:r>
              <w:rPr>
                <w:b/>
                <w:bCs/>
                <w:color w:val="FFFFFF"/>
              </w:rPr>
              <w:t>Scope</w:t>
            </w:r>
          </w:p>
        </w:tc>
        <w:tc>
          <w:tcPr>
            <w:tcW w:w="378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48194" w14:textId="77777777" w:rsidR="00B62DEE" w:rsidRDefault="00126A04">
            <w:r>
              <w:rPr>
                <w:b/>
                <w:bCs/>
                <w:color w:val="FFFFFF"/>
              </w:rPr>
              <w:t>Illustrative Case Types</w:t>
            </w:r>
          </w:p>
        </w:tc>
      </w:tr>
      <w:tr w:rsidR="00B62DEE" w14:paraId="1A90117F" w14:textId="77777777"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CBBB7" w14:textId="77777777" w:rsidR="00B62DEE" w:rsidRDefault="00126A04">
            <w:r>
              <w:rPr>
                <w:b/>
                <w:bCs/>
                <w:color w:val="000000"/>
              </w:rPr>
              <w:t>A — HSCT</w:t>
            </w:r>
          </w:p>
        </w:tc>
        <w:tc>
          <w:tcPr>
            <w:tcW w:w="378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A1FF6" w14:textId="77777777" w:rsidR="00B62DEE" w:rsidRDefault="00126A04">
            <w:r>
              <w:rPr>
                <w:color w:val="000000"/>
              </w:rPr>
              <w:t>Allogeneic or autologous hematopoietic stem cell transplant cases with a significant immunogenetic/HLA dimension.</w:t>
            </w:r>
          </w:p>
        </w:tc>
        <w:tc>
          <w:tcPr>
            <w:tcW w:w="378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492152" w14:textId="77777777" w:rsidR="00B62DEE" w:rsidRDefault="00126A04">
            <w:r>
              <w:rPr>
                <w:color w:val="000000"/>
              </w:rPr>
              <w:t>Haploidentical HSCT with complex mismatch resolution; cord blood selection; KIR-mismatched NK alloreactivity; mixed chimerism management; graft failure work-up.</w:t>
            </w:r>
          </w:p>
        </w:tc>
      </w:tr>
      <w:tr w:rsidR="00B62DEE" w14:paraId="0ED5C89B" w14:textId="77777777">
        <w:tc>
          <w:tcPr>
            <w:tcW w:w="18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BEC49" w14:textId="77777777" w:rsidR="00B62DEE" w:rsidRDefault="00126A04">
            <w:r>
              <w:rPr>
                <w:b/>
                <w:bCs/>
                <w:color w:val="000000"/>
              </w:rPr>
              <w:t>B — Solid Organ Transplant</w:t>
            </w:r>
          </w:p>
        </w:tc>
        <w:tc>
          <w:tcPr>
            <w:tcW w:w="378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47A60" w14:textId="77777777" w:rsidR="00B62DEE" w:rsidRDefault="00126A04">
            <w:r>
              <w:rPr>
                <w:color w:val="000000"/>
              </w:rPr>
              <w:t>Kidney, liver, heart, lung, or multi-organ transplant cases with a significant immunogenetic/HLA or antibody dimension.</w:t>
            </w:r>
          </w:p>
        </w:tc>
        <w:tc>
          <w:tcPr>
            <w:tcW w:w="378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75DC9" w14:textId="77777777" w:rsidR="00B62DEE" w:rsidRDefault="00126A04">
            <w:r>
              <w:rPr>
                <w:color w:val="000000"/>
              </w:rPr>
              <w:t xml:space="preserve">Highly sensitized recipient desensitization; ABO/HLA-incompatible transplant; de novo DSA and antibody-mediated rejection; paired kidney exchange; </w:t>
            </w:r>
            <w:proofErr w:type="spellStart"/>
            <w:r>
              <w:rPr>
                <w:color w:val="000000"/>
              </w:rPr>
              <w:t>eplet</w:t>
            </w:r>
            <w:proofErr w:type="spellEnd"/>
            <w:r>
              <w:rPr>
                <w:color w:val="000000"/>
              </w:rPr>
              <w:t>-based risk stratification.</w:t>
            </w:r>
          </w:p>
        </w:tc>
      </w:tr>
      <w:tr w:rsidR="00B62DEE" w14:paraId="5BE2CEAA" w14:textId="77777777"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7D9AF4" w14:textId="77777777" w:rsidR="00B62DEE" w:rsidRDefault="00126A04">
            <w:r>
              <w:rPr>
                <w:b/>
                <w:bCs/>
                <w:color w:val="000000"/>
              </w:rPr>
              <w:t>C — Immunogenetics</w:t>
            </w:r>
          </w:p>
        </w:tc>
        <w:tc>
          <w:tcPr>
            <w:tcW w:w="378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E68C4" w14:textId="77777777" w:rsidR="00B62DEE" w:rsidRDefault="00126A04">
            <w:r>
              <w:rPr>
                <w:color w:val="000000"/>
              </w:rPr>
              <w:t xml:space="preserve">Basic, diagnostic, or translational immunogenetics cases </w:t>
            </w:r>
            <w:proofErr w:type="gramStart"/>
            <w:r>
              <w:rPr>
                <w:color w:val="000000"/>
              </w:rPr>
              <w:t>not</w:t>
            </w:r>
            <w:proofErr w:type="gramEnd"/>
            <w:r>
              <w:rPr>
                <w:color w:val="000000"/>
              </w:rPr>
              <w:t xml:space="preserve"> necessarily tied to a single transplant episode.</w:t>
            </w:r>
          </w:p>
        </w:tc>
        <w:tc>
          <w:tcPr>
            <w:tcW w:w="378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61725" w14:textId="77777777" w:rsidR="00B62DEE" w:rsidRDefault="00126A04">
            <w:r>
              <w:rPr>
                <w:color w:val="000000"/>
              </w:rPr>
              <w:t>Novel HLA allele characterization; disease-association studies (e.g., HLA-B*57:01 and drug hypersensitivity); NGS-based typing discrepancy resolution; population/regional allele frequency findings.</w:t>
            </w:r>
          </w:p>
        </w:tc>
      </w:tr>
    </w:tbl>
    <w:p w14:paraId="271F4300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3. Eligibility Criteria</w:t>
      </w:r>
    </w:p>
    <w:p w14:paraId="755A1869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proofErr w:type="gramStart"/>
      <w:r>
        <w:rPr>
          <w:sz w:val="21"/>
          <w:szCs w:val="21"/>
        </w:rPr>
        <w:t>Submitter</w:t>
      </w:r>
      <w:proofErr w:type="gramEnd"/>
      <w:r>
        <w:rPr>
          <w:sz w:val="21"/>
          <w:szCs w:val="21"/>
        </w:rPr>
        <w:t xml:space="preserve"> must be directly involved in the case (e.g., laboratory director, transplant physician, HLA/immunogenetics scientist, fellow, or resident).</w:t>
      </w:r>
    </w:p>
    <w:p w14:paraId="1C6763F1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Case must be fully de-identified in accordance with institutional and national data protection/ethics regulations; no patient names, medical record numbers, or identifiable images.</w:t>
      </w:r>
    </w:p>
    <w:p w14:paraId="762A6CEE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One submitter may submit up to 2 cases total, across one or more categories.</w:t>
      </w:r>
    </w:p>
    <w:p w14:paraId="54A1DC8C" w14:textId="1046DFB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lastRenderedPageBreak/>
        <w:t>Co-authors must be listed with affiliations; all co-authors must consent to submission.</w:t>
      </w:r>
    </w:p>
    <w:p w14:paraId="6096CAE3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4. Case Submission Requirements — Structure &amp; Format</w:t>
      </w:r>
    </w:p>
    <w:p w14:paraId="13F2531D" w14:textId="77777777" w:rsidR="00B62DEE" w:rsidRDefault="00126A04">
      <w:pPr>
        <w:spacing w:after="120"/>
      </w:pPr>
      <w:r>
        <w:rPr>
          <w:sz w:val="21"/>
          <w:szCs w:val="21"/>
        </w:rPr>
        <w:t xml:space="preserve">Each submission must be a single </w:t>
      </w:r>
      <w:proofErr w:type="gramStart"/>
      <w:r>
        <w:rPr>
          <w:sz w:val="21"/>
          <w:szCs w:val="21"/>
        </w:rPr>
        <w:t>Word (.</w:t>
      </w:r>
      <w:proofErr w:type="gramEnd"/>
      <w:r>
        <w:rPr>
          <w:sz w:val="21"/>
          <w:szCs w:val="21"/>
        </w:rPr>
        <w:t>docx) or PDF document, maximum 6 pages (excluding references and figure legends), formatted as follows:</w:t>
      </w:r>
    </w:p>
    <w:p w14:paraId="526B418C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Title Page — Case title, category (A/B/C), submitter name, institution, co-authors, corresponding email and phone number.</w:t>
      </w:r>
    </w:p>
    <w:p w14:paraId="77BE72AB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 xml:space="preserve">Structured Abstract (250 words </w:t>
      </w:r>
      <w:proofErr w:type="gramStart"/>
      <w:r>
        <w:rPr>
          <w:sz w:val="21"/>
          <w:szCs w:val="21"/>
        </w:rPr>
        <w:t>max) —</w:t>
      </w:r>
      <w:proofErr w:type="gramEnd"/>
      <w:r>
        <w:rPr>
          <w:sz w:val="21"/>
          <w:szCs w:val="21"/>
        </w:rPr>
        <w:t xml:space="preserve"> Background, Case Summary, Immunogenetic Findings, Outcome, Conclusion.</w:t>
      </w:r>
    </w:p>
    <w:p w14:paraId="60421004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Case Presentation — De-identified demographics (age range, sex), clinical history, indication for transplant, relevant timeline.</w:t>
      </w:r>
    </w:p>
    <w:p w14:paraId="616D5A12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Immunogenetic / HLA Work-up — Typing methodology and resolution, antibody/crossmatch data (SOT), KIR/chimerism data (HSCT), or sequencing/allele data (Immunogenetics category), presented in a table.</w:t>
      </w:r>
    </w:p>
    <w:p w14:paraId="3B253E9A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Decision-Making Rationale — How immunogenetic data informed donor selection, conditioning/immunosuppression, or diagnostic conclusion.</w:t>
      </w:r>
    </w:p>
    <w:p w14:paraId="1EDF8086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Clinical Course &amp; Outcome — Key events, complications, and follow-up duration (minimum 6 months where applicable).</w:t>
      </w:r>
    </w:p>
    <w:p w14:paraId="7F5261B4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Discussion — Brief literature context (max 5 references) and educational takeaway (3–5 bullet points).</w:t>
      </w:r>
    </w:p>
    <w:p w14:paraId="167B2C1B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Figures/Tables — Maximum 4, high resolution, properly labeled (e.g., HLA typing table, crossmatch trend, chimerism chart, electropherogram).</w:t>
      </w:r>
    </w:p>
    <w:p w14:paraId="0E57C913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Ethics Declaration — One-line statement confirming institutional approval/consent and de-identification.</w:t>
      </w:r>
    </w:p>
    <w:p w14:paraId="58C99965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5. Selection Criteria &amp; Scoring System</w:t>
      </w:r>
    </w:p>
    <w:p w14:paraId="490E9A12" w14:textId="77777777" w:rsidR="00B62DEE" w:rsidRDefault="00126A04">
      <w:pPr>
        <w:spacing w:after="120"/>
      </w:pPr>
      <w:r>
        <w:rPr>
          <w:sz w:val="21"/>
          <w:szCs w:val="21"/>
        </w:rPr>
        <w:t xml:space="preserve">Each case is scored independently by three reviewers on a 100-point scale using the category-specific rubric below. The final score is the </w:t>
      </w:r>
      <w:proofErr w:type="gramStart"/>
      <w:r>
        <w:rPr>
          <w:sz w:val="21"/>
          <w:szCs w:val="21"/>
        </w:rPr>
        <w:t>mean</w:t>
      </w:r>
      <w:proofErr w:type="gramEnd"/>
      <w:r>
        <w:rPr>
          <w:sz w:val="21"/>
          <w:szCs w:val="21"/>
        </w:rPr>
        <w:t xml:space="preserve"> of the three reviewers' totals. A minimum mean score of 70/100 is required for shortlisting, regardless of relative ranking.</w:t>
      </w:r>
    </w:p>
    <w:p w14:paraId="50399156" w14:textId="77777777" w:rsidR="00B62DEE" w:rsidRDefault="00126A04">
      <w:pPr>
        <w:pStyle w:val="Heading2"/>
        <w:spacing w:before="300" w:after="150"/>
      </w:pPr>
      <w:r>
        <w:rPr>
          <w:b/>
          <w:bCs/>
          <w:color w:val="1F3864"/>
          <w:sz w:val="24"/>
          <w:szCs w:val="24"/>
        </w:rPr>
        <w:t>5.1 Category A — HSCT Scoring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5260"/>
        <w:gridCol w:w="1500"/>
      </w:tblGrid>
      <w:tr w:rsidR="00B62DEE" w14:paraId="62B25B51" w14:textId="77777777">
        <w:trPr>
          <w:tblHeader/>
        </w:trPr>
        <w:tc>
          <w:tcPr>
            <w:tcW w:w="2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96031" w14:textId="77777777" w:rsidR="00B62DEE" w:rsidRDefault="00126A04">
            <w:r>
              <w:rPr>
                <w:b/>
                <w:bCs/>
                <w:color w:val="FFFFFF"/>
              </w:rPr>
              <w:t>Criterion</w:t>
            </w:r>
          </w:p>
        </w:tc>
        <w:tc>
          <w:tcPr>
            <w:tcW w:w="52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3C0A5F" w14:textId="77777777" w:rsidR="00B62DEE" w:rsidRDefault="00126A04"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1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6BECB" w14:textId="77777777" w:rsidR="00B62DEE" w:rsidRDefault="00126A04">
            <w:pPr>
              <w:jc w:val="center"/>
            </w:pPr>
            <w:r>
              <w:rPr>
                <w:b/>
                <w:bCs/>
                <w:color w:val="FFFFFF"/>
              </w:rPr>
              <w:t>Max Points</w:t>
            </w:r>
          </w:p>
        </w:tc>
      </w:tr>
      <w:tr w:rsidR="00B62DEE" w14:paraId="2E00E985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663001" w14:textId="77777777" w:rsidR="00B62DEE" w:rsidRDefault="00126A04">
            <w:r>
              <w:rPr>
                <w:b/>
                <w:bCs/>
                <w:color w:val="000000"/>
              </w:rPr>
              <w:t>Clinical Complexity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4C80B0" w14:textId="77777777" w:rsidR="00B62DEE" w:rsidRDefault="00126A04">
            <w:r>
              <w:rPr>
                <w:color w:val="000000"/>
              </w:rPr>
              <w:t>Diagnostic difficulty, disease rarity/severity, comorbidities, and complexity of the HSCT indication (malignant/non-malignant).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1B030" w14:textId="77777777" w:rsidR="00B62DEE" w:rsidRDefault="00126A04">
            <w:pPr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B62DEE" w14:paraId="25B3A24A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B631D" w14:textId="77777777" w:rsidR="00B62DEE" w:rsidRDefault="00126A04">
            <w:r>
              <w:rPr>
                <w:b/>
                <w:bCs/>
                <w:color w:val="000000"/>
              </w:rPr>
              <w:t>Immunogenetic/HLA Work-up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63A88" w14:textId="77777777" w:rsidR="00B62DEE" w:rsidRDefault="00126A04">
            <w:r>
              <w:rPr>
                <w:color w:val="000000"/>
              </w:rPr>
              <w:t>Depth and accuracy of HLA typing (Class I/II, high-resolution), donor search strategy, haploidentical/mismatch analysis, KIR genotyping, or DSA assessment where relevant.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605BEE" w14:textId="77777777" w:rsidR="00B62DEE" w:rsidRDefault="00126A04">
            <w:pPr>
              <w:jc w:val="center"/>
            </w:pPr>
            <w:r>
              <w:rPr>
                <w:color w:val="000000"/>
              </w:rPr>
              <w:t>25</w:t>
            </w:r>
          </w:p>
        </w:tc>
      </w:tr>
      <w:tr w:rsidR="00B62DEE" w14:paraId="1DFEAD3C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5A8C7" w14:textId="77777777" w:rsidR="00B62DEE" w:rsidRDefault="00126A04">
            <w:r>
              <w:rPr>
                <w:b/>
                <w:bCs/>
                <w:color w:val="000000"/>
              </w:rPr>
              <w:t>Donor Selection &amp; Conditioning Rationale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08C777" w14:textId="77777777" w:rsidR="00B62DEE" w:rsidRDefault="00126A04">
            <w:r>
              <w:rPr>
                <w:color w:val="000000"/>
              </w:rPr>
              <w:t>Justification of donor source (MRD/MUD/</w:t>
            </w:r>
            <w:proofErr w:type="spellStart"/>
            <w:r>
              <w:rPr>
                <w:color w:val="000000"/>
              </w:rPr>
              <w:t>haplo</w:t>
            </w:r>
            <w:proofErr w:type="spellEnd"/>
            <w:r>
              <w:rPr>
                <w:color w:val="000000"/>
              </w:rPr>
              <w:t xml:space="preserve">/cord), conditioning regimen, GvHD prophylaxis choice </w:t>
            </w:r>
            <w:proofErr w:type="gramStart"/>
            <w:r>
              <w:rPr>
                <w:color w:val="000000"/>
              </w:rPr>
              <w:t>in light of</w:t>
            </w:r>
            <w:proofErr w:type="gramEnd"/>
            <w:r>
              <w:rPr>
                <w:color w:val="000000"/>
              </w:rPr>
              <w:t xml:space="preserve"> the immunogenetic profile.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8ECBB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02022A54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88E78" w14:textId="77777777" w:rsidR="00B62DEE" w:rsidRDefault="00126A04">
            <w:r>
              <w:rPr>
                <w:b/>
                <w:bCs/>
                <w:color w:val="000000"/>
              </w:rPr>
              <w:t>Clinical Course &amp; Outcome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E69DC" w14:textId="77777777" w:rsidR="00B62DEE" w:rsidRDefault="00126A04">
            <w:r>
              <w:rPr>
                <w:color w:val="000000"/>
              </w:rPr>
              <w:t>Management of engraftment, GvHD, infections, relapse or complications; overall outcome and follow-up duration.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7FF5B7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2488FEAF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E7884" w14:textId="77777777" w:rsidR="00B62DEE" w:rsidRDefault="00126A04">
            <w:r>
              <w:rPr>
                <w:b/>
                <w:bCs/>
                <w:color w:val="000000"/>
              </w:rPr>
              <w:t>Innovation / Problem-Solving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021992" w14:textId="77777777" w:rsidR="00B62DEE" w:rsidRDefault="00126A04">
            <w:r>
              <w:rPr>
                <w:color w:val="000000"/>
              </w:rPr>
              <w:t>Novel diagnostic approach, unusual mismatch resolution, or innovative use of immunogenetic data in decision-making.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BBC05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77576218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F4482" w14:textId="77777777" w:rsidR="00B62DEE" w:rsidRDefault="00126A04">
            <w:r>
              <w:rPr>
                <w:b/>
                <w:bCs/>
                <w:color w:val="000000"/>
              </w:rPr>
              <w:lastRenderedPageBreak/>
              <w:t>Educational &amp; Scientific Value / Presentation Clarity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40D44" w14:textId="77777777" w:rsidR="00B62DEE" w:rsidRDefault="00126A04">
            <w:r>
              <w:rPr>
                <w:color w:val="000000"/>
              </w:rPr>
              <w:t>Clarity of case narrative, quality of figures/tables (e.g., HLA typing tables, chimerism charts), relevance of literature discussion, and suitability for panel discussion.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4D9B9A" w14:textId="77777777" w:rsidR="00B62DEE" w:rsidRDefault="00126A04">
            <w:pPr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B62DEE" w14:paraId="30C6C257" w14:textId="77777777">
        <w:tc>
          <w:tcPr>
            <w:tcW w:w="2600" w:type="dxa"/>
            <w:gridSpan w:val="2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5B3C5C" w14:textId="77777777" w:rsidR="00B62DEE" w:rsidRDefault="00126A04"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1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78930" w14:textId="77777777" w:rsidR="00B62DEE" w:rsidRDefault="00126A04">
            <w:pPr>
              <w:jc w:val="center"/>
            </w:pPr>
            <w:r>
              <w:rPr>
                <w:b/>
                <w:bCs/>
                <w:color w:val="000000"/>
              </w:rPr>
              <w:t>100</w:t>
            </w:r>
          </w:p>
        </w:tc>
      </w:tr>
    </w:tbl>
    <w:p w14:paraId="541A5D85" w14:textId="77777777" w:rsidR="00B62DEE" w:rsidRDefault="00126A04">
      <w:pPr>
        <w:pStyle w:val="Heading2"/>
        <w:spacing w:before="300" w:after="150"/>
      </w:pPr>
      <w:r>
        <w:rPr>
          <w:b/>
          <w:bCs/>
          <w:color w:val="1F3864"/>
          <w:sz w:val="24"/>
          <w:szCs w:val="24"/>
        </w:rPr>
        <w:t>5.2 Category B — Solid Organ Transplant Scoring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5260"/>
        <w:gridCol w:w="1500"/>
      </w:tblGrid>
      <w:tr w:rsidR="00B62DEE" w14:paraId="03544E24" w14:textId="77777777">
        <w:trPr>
          <w:tblHeader/>
        </w:trPr>
        <w:tc>
          <w:tcPr>
            <w:tcW w:w="2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28FF6" w14:textId="77777777" w:rsidR="00B62DEE" w:rsidRDefault="00126A04">
            <w:r>
              <w:rPr>
                <w:b/>
                <w:bCs/>
                <w:color w:val="FFFFFF"/>
              </w:rPr>
              <w:t>Criterion</w:t>
            </w:r>
          </w:p>
        </w:tc>
        <w:tc>
          <w:tcPr>
            <w:tcW w:w="52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97F46" w14:textId="77777777" w:rsidR="00B62DEE" w:rsidRDefault="00126A04"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1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46F07" w14:textId="77777777" w:rsidR="00B62DEE" w:rsidRDefault="00126A04">
            <w:pPr>
              <w:jc w:val="center"/>
            </w:pPr>
            <w:r>
              <w:rPr>
                <w:b/>
                <w:bCs/>
                <w:color w:val="FFFFFF"/>
              </w:rPr>
              <w:t>Max Points</w:t>
            </w:r>
          </w:p>
        </w:tc>
      </w:tr>
      <w:tr w:rsidR="00B62DEE" w14:paraId="77E91736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67273" w14:textId="77777777" w:rsidR="00B62DEE" w:rsidRDefault="00126A04">
            <w:r>
              <w:rPr>
                <w:b/>
                <w:bCs/>
                <w:color w:val="000000"/>
              </w:rPr>
              <w:t>Clinical Complexity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A18889" w14:textId="77777777" w:rsidR="00B62DEE" w:rsidRDefault="00126A04">
            <w:r>
              <w:rPr>
                <w:color w:val="000000"/>
              </w:rPr>
              <w:t>Rarity/severity of underlying disease, organ(s) involved, comorbidities, and complexity of transplant indication.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FC9AF" w14:textId="77777777" w:rsidR="00B62DEE" w:rsidRDefault="00126A04">
            <w:pPr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B62DEE" w14:paraId="73334143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2C6E40" w14:textId="77777777" w:rsidR="00B62DEE" w:rsidRDefault="00126A04">
            <w:r>
              <w:rPr>
                <w:b/>
                <w:bCs/>
                <w:color w:val="000000"/>
              </w:rPr>
              <w:t>Immunogenetic/HLA &amp; Antibody Work-up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E5BFF" w14:textId="77777777" w:rsidR="00B62DEE" w:rsidRDefault="00126A04">
            <w:r>
              <w:rPr>
                <w:color w:val="000000"/>
              </w:rPr>
              <w:t>Depth of HLA typing, virtual/physical crossmatch strategy, DSA (donor-specific antibody) identification and titer trends, C1q/MFI interpretation, desensitization protocol where applicable.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C422B" w14:textId="77777777" w:rsidR="00B62DEE" w:rsidRDefault="00126A04">
            <w:pPr>
              <w:jc w:val="center"/>
            </w:pPr>
            <w:r>
              <w:rPr>
                <w:color w:val="000000"/>
              </w:rPr>
              <w:t>25</w:t>
            </w:r>
          </w:p>
        </w:tc>
      </w:tr>
      <w:tr w:rsidR="00B62DEE" w14:paraId="31403527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B98C9" w14:textId="77777777" w:rsidR="00B62DEE" w:rsidRDefault="00126A04">
            <w:r>
              <w:rPr>
                <w:b/>
                <w:bCs/>
                <w:color w:val="000000"/>
              </w:rPr>
              <w:t>Immunological Risk Stratification &amp; Decision-Making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10ACC" w14:textId="77777777" w:rsidR="00B62DEE" w:rsidRDefault="00126A04">
            <w:r>
              <w:rPr>
                <w:color w:val="000000"/>
              </w:rPr>
              <w:t>Quality of pre-transplant risk assessment, desensitization or paired-exchange strategy, and immunosuppression tailoring based on immunologic risk.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07FB4B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35C23F44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3E8E5" w14:textId="77777777" w:rsidR="00B62DEE" w:rsidRDefault="00126A04">
            <w:r>
              <w:rPr>
                <w:b/>
                <w:bCs/>
                <w:color w:val="000000"/>
              </w:rPr>
              <w:t>Clinical Course &amp; Outcome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A56DB" w14:textId="77777777" w:rsidR="00B62DEE" w:rsidRDefault="00126A04">
            <w:r>
              <w:rPr>
                <w:color w:val="000000"/>
              </w:rPr>
              <w:t>Management of rejection episodes (ABMR/TCMR), graft function, infection, and long-term outcome.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2FC34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283F69E6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1EE83" w14:textId="77777777" w:rsidR="00B62DEE" w:rsidRDefault="00126A04">
            <w:r>
              <w:rPr>
                <w:b/>
                <w:bCs/>
                <w:color w:val="000000"/>
              </w:rPr>
              <w:t>Innovation / Problem-Solving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81D7C" w14:textId="77777777" w:rsidR="00B62DEE" w:rsidRDefault="00126A04">
            <w:r>
              <w:rPr>
                <w:color w:val="000000"/>
              </w:rPr>
              <w:t>Novel approach to a highly sensitized recipient, unusual mismatch, or creative use of immunogenetic/biomarker data.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00EAB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71B97115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CE63BD" w14:textId="77777777" w:rsidR="00B62DEE" w:rsidRDefault="00126A04">
            <w:r>
              <w:rPr>
                <w:b/>
                <w:bCs/>
                <w:color w:val="000000"/>
              </w:rPr>
              <w:t>Educational &amp; Scientific Value / Presentation Clarity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D51291" w14:textId="77777777" w:rsidR="00B62DEE" w:rsidRDefault="00126A04">
            <w:r>
              <w:rPr>
                <w:color w:val="000000"/>
              </w:rPr>
              <w:t>Clarity of narrative, quality of crossmatch/DSA figures, literature integration, and suitability for panel discussion.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361466" w14:textId="77777777" w:rsidR="00B62DEE" w:rsidRDefault="00126A04">
            <w:pPr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B62DEE" w14:paraId="20C20B7D" w14:textId="77777777">
        <w:tc>
          <w:tcPr>
            <w:tcW w:w="2600" w:type="dxa"/>
            <w:gridSpan w:val="2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341F59" w14:textId="77777777" w:rsidR="00B62DEE" w:rsidRDefault="00126A04"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1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388C0" w14:textId="77777777" w:rsidR="00B62DEE" w:rsidRDefault="00126A04">
            <w:pPr>
              <w:jc w:val="center"/>
            </w:pPr>
            <w:r>
              <w:rPr>
                <w:b/>
                <w:bCs/>
                <w:color w:val="000000"/>
              </w:rPr>
              <w:t>100</w:t>
            </w:r>
          </w:p>
        </w:tc>
      </w:tr>
    </w:tbl>
    <w:p w14:paraId="4F3F76CD" w14:textId="77777777" w:rsidR="00B62DEE" w:rsidRDefault="00126A04">
      <w:pPr>
        <w:pStyle w:val="Heading2"/>
        <w:spacing w:before="300" w:after="150"/>
      </w:pPr>
      <w:r>
        <w:rPr>
          <w:b/>
          <w:bCs/>
          <w:color w:val="1F3864"/>
          <w:sz w:val="24"/>
          <w:szCs w:val="24"/>
        </w:rPr>
        <w:t>5.3 Category C — Immunogenetics Scoring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5260"/>
        <w:gridCol w:w="1500"/>
      </w:tblGrid>
      <w:tr w:rsidR="00B62DEE" w14:paraId="62F776EE" w14:textId="77777777">
        <w:trPr>
          <w:tblHeader/>
        </w:trPr>
        <w:tc>
          <w:tcPr>
            <w:tcW w:w="2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D7FBF" w14:textId="77777777" w:rsidR="00B62DEE" w:rsidRDefault="00126A04">
            <w:r>
              <w:rPr>
                <w:b/>
                <w:bCs/>
                <w:color w:val="FFFFFF"/>
              </w:rPr>
              <w:t>Criterion</w:t>
            </w:r>
          </w:p>
        </w:tc>
        <w:tc>
          <w:tcPr>
            <w:tcW w:w="52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AA419" w14:textId="77777777" w:rsidR="00B62DEE" w:rsidRDefault="00126A04"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1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D6012A" w14:textId="77777777" w:rsidR="00B62DEE" w:rsidRDefault="00126A04">
            <w:pPr>
              <w:jc w:val="center"/>
            </w:pPr>
            <w:r>
              <w:rPr>
                <w:b/>
                <w:bCs/>
                <w:color w:val="FFFFFF"/>
              </w:rPr>
              <w:t>Max Points</w:t>
            </w:r>
          </w:p>
        </w:tc>
      </w:tr>
      <w:tr w:rsidR="00B62DEE" w14:paraId="4DC03A21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9A7E06" w14:textId="77777777" w:rsidR="00B62DEE" w:rsidRDefault="00126A04">
            <w:r>
              <w:rPr>
                <w:b/>
                <w:bCs/>
                <w:color w:val="000000"/>
              </w:rPr>
              <w:t>Scientific/Diagnostic Significance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185CC" w14:textId="77777777" w:rsidR="00B62DEE" w:rsidRDefault="00126A04">
            <w:r>
              <w:rPr>
                <w:color w:val="000000"/>
              </w:rPr>
              <w:t>Relevance of the immunogenetic question (e.g., novel HLA allele, disease association, pharmacogenomic marker) to clinical or translational practice.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69FE1" w14:textId="77777777" w:rsidR="00B62DEE" w:rsidRDefault="00126A04">
            <w:pPr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B62DEE" w14:paraId="1517EE46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82D116" w14:textId="77777777" w:rsidR="00B62DEE" w:rsidRDefault="00126A04">
            <w:r>
              <w:rPr>
                <w:b/>
                <w:bCs/>
                <w:color w:val="000000"/>
              </w:rPr>
              <w:t>Depth of Immunogenetic Analysis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C35AC" w14:textId="77777777" w:rsidR="00B62DEE" w:rsidRDefault="00126A04">
            <w:r>
              <w:rPr>
                <w:color w:val="000000"/>
              </w:rPr>
              <w:t>Rigor of typing/sequencing methodology (SBT, NGS, SSO/SSP), bioinformatic analysis, and interpretation of findings.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3EAEA" w14:textId="77777777" w:rsidR="00B62DEE" w:rsidRDefault="00126A04">
            <w:pPr>
              <w:jc w:val="center"/>
            </w:pPr>
            <w:r>
              <w:rPr>
                <w:color w:val="000000"/>
              </w:rPr>
              <w:t>25</w:t>
            </w:r>
          </w:p>
        </w:tc>
      </w:tr>
      <w:tr w:rsidR="00B62DEE" w14:paraId="56B7F6DE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CB00C" w14:textId="77777777" w:rsidR="00B62DEE" w:rsidRDefault="00126A04">
            <w:r>
              <w:rPr>
                <w:b/>
                <w:bCs/>
                <w:color w:val="000000"/>
              </w:rPr>
              <w:t>Clinical/Translational Correlation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9A942D" w14:textId="77777777" w:rsidR="00B62DEE" w:rsidRDefault="00126A04">
            <w:r>
              <w:rPr>
                <w:color w:val="000000"/>
              </w:rPr>
              <w:t>Strength of the link between the immunogenetic finding and a clinical outcome, phenotype, or transplant decision.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357B2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4F43DF0E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868D1F" w14:textId="77777777" w:rsidR="00B62DEE" w:rsidRDefault="00126A04">
            <w:r>
              <w:rPr>
                <w:b/>
                <w:bCs/>
                <w:color w:val="000000"/>
              </w:rPr>
              <w:t>Methodological Rigor &amp; Validation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0BC5F" w14:textId="77777777" w:rsidR="00B62DEE" w:rsidRDefault="00126A04">
            <w:r>
              <w:rPr>
                <w:color w:val="000000"/>
              </w:rPr>
              <w:t>Appropriateness of confirmatory testing, controls, and quality assurance measures.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767BF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727AEB96" w14:textId="77777777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D0FFAA" w14:textId="77777777" w:rsidR="00B62DEE" w:rsidRDefault="00126A04">
            <w:r>
              <w:rPr>
                <w:b/>
                <w:bCs/>
                <w:color w:val="000000"/>
              </w:rPr>
              <w:t>Innovation / Novelty</w:t>
            </w:r>
          </w:p>
        </w:tc>
        <w:tc>
          <w:tcPr>
            <w:tcW w:w="52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D05F5" w14:textId="77777777" w:rsidR="00B62DEE" w:rsidRDefault="00126A04">
            <w:r>
              <w:rPr>
                <w:color w:val="000000"/>
              </w:rPr>
              <w:t>Originality of the finding (e.g., novel allele submission, first regional report, new algorithm) or approach.</w:t>
            </w:r>
          </w:p>
        </w:tc>
        <w:tc>
          <w:tcPr>
            <w:tcW w:w="1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A62BE" w14:textId="77777777" w:rsidR="00B62DEE" w:rsidRDefault="00126A04">
            <w:pPr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B62DEE" w14:paraId="4BB7969D" w14:textId="77777777">
        <w:tc>
          <w:tcPr>
            <w:tcW w:w="26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ACCE27" w14:textId="77777777" w:rsidR="00B62DEE" w:rsidRDefault="00126A04">
            <w:r>
              <w:rPr>
                <w:b/>
                <w:bCs/>
                <w:color w:val="000000"/>
              </w:rPr>
              <w:t>Educational &amp; Scientific Value / Presentation Clarity</w:t>
            </w:r>
          </w:p>
        </w:tc>
        <w:tc>
          <w:tcPr>
            <w:tcW w:w="5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DA754" w14:textId="77777777" w:rsidR="00B62DEE" w:rsidRDefault="00126A04">
            <w:r>
              <w:rPr>
                <w:color w:val="000000"/>
              </w:rPr>
              <w:t>Clarity of narrative, quality of figures (e.g., sequence electropherograms, phylogenetic/allele trees), literature integration, suitability for panel discussion.</w:t>
            </w:r>
          </w:p>
        </w:tc>
        <w:tc>
          <w:tcPr>
            <w:tcW w:w="1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91069" w14:textId="77777777" w:rsidR="00B62DEE" w:rsidRDefault="00126A04">
            <w:pPr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B62DEE" w14:paraId="539A6D1E" w14:textId="77777777">
        <w:tc>
          <w:tcPr>
            <w:tcW w:w="2600" w:type="dxa"/>
            <w:gridSpan w:val="2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9D249" w14:textId="77777777" w:rsidR="00B62DEE" w:rsidRDefault="00126A04">
            <w:r>
              <w:rPr>
                <w:b/>
                <w:bCs/>
                <w:color w:val="000000"/>
              </w:rPr>
              <w:lastRenderedPageBreak/>
              <w:t>TOTAL</w:t>
            </w:r>
          </w:p>
        </w:tc>
        <w:tc>
          <w:tcPr>
            <w:tcW w:w="1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A51EC6" w14:textId="77777777" w:rsidR="00B62DEE" w:rsidRDefault="00126A04">
            <w:pPr>
              <w:jc w:val="center"/>
            </w:pPr>
            <w:r>
              <w:rPr>
                <w:b/>
                <w:bCs/>
                <w:color w:val="000000"/>
              </w:rPr>
              <w:t>100</w:t>
            </w:r>
          </w:p>
        </w:tc>
      </w:tr>
    </w:tbl>
    <w:p w14:paraId="6658F3E9" w14:textId="77777777" w:rsidR="00B62DEE" w:rsidRDefault="00126A04">
      <w:pPr>
        <w:pStyle w:val="Heading2"/>
        <w:spacing w:before="300" w:after="150"/>
      </w:pPr>
      <w:r>
        <w:rPr>
          <w:b/>
          <w:bCs/>
          <w:color w:val="1F3864"/>
          <w:sz w:val="24"/>
          <w:szCs w:val="24"/>
        </w:rPr>
        <w:t>5.4 Scoring Scale Guidance (applies within each criterion)</w:t>
      </w:r>
    </w:p>
    <w:p w14:paraId="7D920D94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90–100% of max points: Exceptional — exemplary, publication-quality, highly instructive.</w:t>
      </w:r>
    </w:p>
    <w:p w14:paraId="671FE218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75–89%: Strong — well-documented with minor gaps.</w:t>
      </w:r>
    </w:p>
    <w:p w14:paraId="4D31B252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60–74%: Adequate — meets basic expectations, some gaps in data or rationale.</w:t>
      </w:r>
    </w:p>
    <w:p w14:paraId="0692DA72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Below 60%: Weak — insufficient data, unclear rationale, or poor documentation.</w:t>
      </w:r>
    </w:p>
    <w:p w14:paraId="4AD2F50C" w14:textId="77777777" w:rsidR="00B62DEE" w:rsidRDefault="00126A04">
      <w:pPr>
        <w:pStyle w:val="Heading2"/>
        <w:spacing w:before="300" w:after="150"/>
      </w:pPr>
      <w:r>
        <w:rPr>
          <w:b/>
          <w:bCs/>
          <w:color w:val="1F3864"/>
          <w:sz w:val="24"/>
          <w:szCs w:val="24"/>
        </w:rPr>
        <w:t>5.5 Tie-Breaking Procedure</w:t>
      </w:r>
    </w:p>
    <w:p w14:paraId="1A0F9897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First tie-break: highest score on "Immunogenetic/HLA Work-up" criterion.</w:t>
      </w:r>
    </w:p>
    <w:p w14:paraId="635D9A6A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Second tie-break: highest score on "Innovation / Problem-Solving" criterion.</w:t>
      </w:r>
    </w:p>
    <w:p w14:paraId="18F9D23D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Unresolved ties: decided by majority vote of the full review committee.</w:t>
      </w:r>
    </w:p>
    <w:p w14:paraId="4303400F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6. Judging Panel &amp; Review Process</w:t>
      </w:r>
    </w:p>
    <w:p w14:paraId="6EBD4761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Each category is reviewed by a panel of at least 3 independent experts (laboratory directors, transplant immunologists, or clinicians) with no conflict of interest with any submitter.</w:t>
      </w:r>
    </w:p>
    <w:p w14:paraId="6E683C76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Review is single-blind: reviewers do not see submitter identity/institution during scoring; the organizing committee redacts title pages before distribution.</w:t>
      </w:r>
    </w:p>
    <w:p w14:paraId="2FE46E2F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Reviewers score independently using the rubric; scores and brief written comments are submitted via a standardized scoring form.</w:t>
      </w:r>
    </w:p>
    <w:p w14:paraId="6963C987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The organizing committee compiles scores, resolves </w:t>
      </w:r>
      <w:proofErr w:type="gramStart"/>
      <w:r>
        <w:rPr>
          <w:sz w:val="21"/>
          <w:szCs w:val="21"/>
        </w:rPr>
        <w:t>ties</w:t>
      </w:r>
      <w:proofErr w:type="gramEnd"/>
      <w:r>
        <w:rPr>
          <w:sz w:val="21"/>
          <w:szCs w:val="21"/>
        </w:rPr>
        <w:t xml:space="preserve"> per Section 5.5, and confirms eligibility documentation before finalist notification.</w:t>
      </w:r>
    </w:p>
    <w:p w14:paraId="343732AF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The top 3 scoring cases per category are invited to present a 10-minute summary followed by panel discussion at the conference.</w:t>
      </w:r>
    </w:p>
    <w:p w14:paraId="44A039F7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Reviewer decisions are final; a brief written rationale is available to submitters on request after the conference.</w:t>
      </w:r>
    </w:p>
    <w:p w14:paraId="51DCA321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7. Timeline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160"/>
        <w:gridCol w:w="3000"/>
      </w:tblGrid>
      <w:tr w:rsidR="00B62DEE" w14:paraId="387AA271" w14:textId="77777777">
        <w:trPr>
          <w:tblHeader/>
        </w:trPr>
        <w:tc>
          <w:tcPr>
            <w:tcW w:w="2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6B0022" w14:textId="77777777" w:rsidR="00B62DEE" w:rsidRDefault="00126A04">
            <w:r>
              <w:rPr>
                <w:b/>
                <w:bCs/>
                <w:color w:val="FFFFFF"/>
              </w:rPr>
              <w:t>Milestone</w:t>
            </w:r>
          </w:p>
        </w:tc>
        <w:tc>
          <w:tcPr>
            <w:tcW w:w="41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0D558" w14:textId="77777777" w:rsidR="00B62DEE" w:rsidRDefault="00126A04"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30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356543" w14:textId="77777777" w:rsidR="00B62DEE" w:rsidRDefault="00126A04">
            <w:pPr>
              <w:jc w:val="center"/>
            </w:pPr>
            <w:r>
              <w:rPr>
                <w:b/>
                <w:bCs/>
                <w:color w:val="FFFFFF"/>
              </w:rPr>
              <w:t>Target Timing</w:t>
            </w:r>
          </w:p>
        </w:tc>
      </w:tr>
      <w:tr w:rsidR="00B62DEE" w14:paraId="30628391" w14:textId="77777777"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6A07E" w14:textId="77777777" w:rsidR="00B62DEE" w:rsidRDefault="00126A04">
            <w:r>
              <w:rPr>
                <w:b/>
                <w:bCs/>
                <w:color w:val="000000"/>
              </w:rPr>
              <w:t>Call for Cases Opens</w:t>
            </w:r>
          </w:p>
        </w:tc>
        <w:tc>
          <w:tcPr>
            <w:tcW w:w="4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7DAA4" w14:textId="77777777" w:rsidR="00B62DEE" w:rsidRDefault="00126A04">
            <w:r>
              <w:rPr>
                <w:color w:val="000000"/>
              </w:rPr>
              <w:t>Announcement circulated to conference registrants and relevant societies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CB8964" w14:textId="5F600119" w:rsidR="00B62DEE" w:rsidRDefault="00661E56">
            <w:pPr>
              <w:jc w:val="center"/>
            </w:pPr>
            <w:r>
              <w:rPr>
                <w:color w:val="000000"/>
              </w:rPr>
              <w:t>SEPTEMBER 1</w:t>
            </w:r>
            <w:r w:rsidRPr="00661E56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</w:t>
            </w:r>
          </w:p>
        </w:tc>
      </w:tr>
      <w:tr w:rsidR="00B62DEE" w14:paraId="283A4892" w14:textId="77777777">
        <w:tc>
          <w:tcPr>
            <w:tcW w:w="22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E1B08" w14:textId="77777777" w:rsidR="00B62DEE" w:rsidRDefault="00126A04">
            <w:r>
              <w:rPr>
                <w:b/>
                <w:bCs/>
                <w:color w:val="000000"/>
              </w:rPr>
              <w:t>Submission Deadline</w:t>
            </w:r>
          </w:p>
        </w:tc>
        <w:tc>
          <w:tcPr>
            <w:tcW w:w="41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3FD515" w14:textId="77777777" w:rsidR="00B62DEE" w:rsidRDefault="00126A04">
            <w:r>
              <w:rPr>
                <w:color w:val="000000"/>
              </w:rPr>
              <w:t xml:space="preserve">Final date </w:t>
            </w:r>
            <w:proofErr w:type="gramStart"/>
            <w:r>
              <w:rPr>
                <w:color w:val="000000"/>
              </w:rPr>
              <w:t>to email</w:t>
            </w:r>
            <w:proofErr w:type="gramEnd"/>
            <w:r>
              <w:rPr>
                <w:color w:val="000000"/>
              </w:rPr>
              <w:t xml:space="preserve"> complete application packet</w:t>
            </w:r>
          </w:p>
        </w:tc>
        <w:tc>
          <w:tcPr>
            <w:tcW w:w="30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E2B92" w14:textId="4DD21FA6" w:rsidR="00B62DEE" w:rsidRDefault="00661E56">
            <w:pPr>
              <w:jc w:val="center"/>
            </w:pPr>
            <w:r>
              <w:rPr>
                <w:color w:val="000000"/>
              </w:rPr>
              <w:t>October 1</w:t>
            </w:r>
            <w:r w:rsidRPr="00661E56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</w:t>
            </w:r>
          </w:p>
        </w:tc>
      </w:tr>
      <w:tr w:rsidR="00B62DEE" w14:paraId="3B9EE03A" w14:textId="77777777"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EDC48" w14:textId="77777777" w:rsidR="00B62DEE" w:rsidRDefault="00126A04">
            <w:r>
              <w:rPr>
                <w:b/>
                <w:bCs/>
                <w:color w:val="000000"/>
              </w:rPr>
              <w:t>Eligibility Screening</w:t>
            </w:r>
          </w:p>
        </w:tc>
        <w:tc>
          <w:tcPr>
            <w:tcW w:w="4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5AECA" w14:textId="77777777" w:rsidR="00B62DEE" w:rsidRDefault="00126A04">
            <w:r>
              <w:rPr>
                <w:color w:val="000000"/>
              </w:rPr>
              <w:t>Organizing committee confirms completeness and eligibility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F6627" w14:textId="6D87588C" w:rsidR="00B62DEE" w:rsidRDefault="00661E56">
            <w:pPr>
              <w:jc w:val="center"/>
            </w:pPr>
            <w:r>
              <w:rPr>
                <w:color w:val="000000"/>
              </w:rPr>
              <w:t>October 15</w:t>
            </w:r>
            <w:r w:rsidRPr="00661E56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</w:t>
            </w:r>
          </w:p>
        </w:tc>
      </w:tr>
      <w:tr w:rsidR="00B62DEE" w14:paraId="7F999EFF" w14:textId="77777777">
        <w:tc>
          <w:tcPr>
            <w:tcW w:w="22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CE6C9" w14:textId="77777777" w:rsidR="00B62DEE" w:rsidRDefault="00126A04">
            <w:r>
              <w:rPr>
                <w:b/>
                <w:bCs/>
                <w:color w:val="000000"/>
              </w:rPr>
              <w:t>Blinded Peer Review</w:t>
            </w:r>
          </w:p>
        </w:tc>
        <w:tc>
          <w:tcPr>
            <w:tcW w:w="41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EA56D" w14:textId="77777777" w:rsidR="00B62DEE" w:rsidRDefault="00126A04">
            <w:r>
              <w:rPr>
                <w:color w:val="000000"/>
              </w:rPr>
              <w:t>Each case scored independently by 3 reviewers per category</w:t>
            </w:r>
          </w:p>
        </w:tc>
        <w:tc>
          <w:tcPr>
            <w:tcW w:w="30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D42D4" w14:textId="65C8A4E3" w:rsidR="00B62DEE" w:rsidRDefault="00661E56">
            <w:pPr>
              <w:jc w:val="center"/>
            </w:pPr>
            <w:r>
              <w:rPr>
                <w:color w:val="000000"/>
              </w:rPr>
              <w:t>October 20</w:t>
            </w:r>
            <w:r w:rsidRPr="00661E56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</w:t>
            </w:r>
          </w:p>
        </w:tc>
      </w:tr>
      <w:tr w:rsidR="00B62DEE" w14:paraId="499F32C0" w14:textId="77777777"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590A0" w14:textId="77777777" w:rsidR="00B62DEE" w:rsidRDefault="00126A04">
            <w:r>
              <w:rPr>
                <w:b/>
                <w:bCs/>
                <w:color w:val="000000"/>
              </w:rPr>
              <w:t>Shortlisting</w:t>
            </w:r>
          </w:p>
        </w:tc>
        <w:tc>
          <w:tcPr>
            <w:tcW w:w="4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A2ADC" w14:textId="77777777" w:rsidR="00B62DEE" w:rsidRDefault="00126A04">
            <w:r>
              <w:rPr>
                <w:color w:val="000000"/>
              </w:rPr>
              <w:t>Top cases per category identified; scores reconciled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B0082" w14:textId="5C3EE37A" w:rsidR="00B62DEE" w:rsidRDefault="00661E56">
            <w:pPr>
              <w:jc w:val="center"/>
            </w:pPr>
            <w:r>
              <w:rPr>
                <w:color w:val="000000"/>
              </w:rPr>
              <w:t>October 30</w:t>
            </w:r>
            <w:r w:rsidRPr="00661E56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</w:t>
            </w:r>
          </w:p>
        </w:tc>
      </w:tr>
      <w:tr w:rsidR="00B62DEE" w14:paraId="3D842973" w14:textId="77777777">
        <w:tc>
          <w:tcPr>
            <w:tcW w:w="22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ABA13" w14:textId="77777777" w:rsidR="00B62DEE" w:rsidRDefault="00126A04">
            <w:r>
              <w:rPr>
                <w:b/>
                <w:bCs/>
                <w:color w:val="000000"/>
              </w:rPr>
              <w:t>Notification of Finalists</w:t>
            </w:r>
          </w:p>
        </w:tc>
        <w:tc>
          <w:tcPr>
            <w:tcW w:w="41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71724C" w14:textId="77777777" w:rsidR="00B62DEE" w:rsidRDefault="00126A04">
            <w:r>
              <w:rPr>
                <w:color w:val="000000"/>
              </w:rPr>
              <w:t>Top 3 per category notified and invited to present</w:t>
            </w:r>
          </w:p>
        </w:tc>
        <w:tc>
          <w:tcPr>
            <w:tcW w:w="30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AB024" w14:textId="28F6A72F" w:rsidR="00B62DEE" w:rsidRDefault="00661E56">
            <w:pPr>
              <w:jc w:val="center"/>
            </w:pPr>
            <w:r>
              <w:rPr>
                <w:color w:val="000000"/>
              </w:rPr>
              <w:t>November 1</w:t>
            </w:r>
            <w:r w:rsidRPr="00661E56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</w:t>
            </w:r>
          </w:p>
        </w:tc>
      </w:tr>
      <w:tr w:rsidR="00B62DEE" w14:paraId="7F21BF9D" w14:textId="77777777"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6E87D" w14:textId="77777777" w:rsidR="00B62DEE" w:rsidRDefault="00126A04">
            <w:r>
              <w:rPr>
                <w:b/>
                <w:bCs/>
                <w:color w:val="000000"/>
              </w:rPr>
              <w:lastRenderedPageBreak/>
              <w:t>Panel Discussion &amp; Awards</w:t>
            </w:r>
          </w:p>
        </w:tc>
        <w:tc>
          <w:tcPr>
            <w:tcW w:w="4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1B05E" w14:textId="77777777" w:rsidR="00B62DEE" w:rsidRDefault="00126A04">
            <w:r>
              <w:rPr>
                <w:color w:val="000000"/>
              </w:rPr>
              <w:t>Finalists present at the conference panel; winners announced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7DF64" w14:textId="77777777" w:rsidR="00B62DEE" w:rsidRDefault="00126A04">
            <w:pPr>
              <w:jc w:val="center"/>
            </w:pPr>
            <w:r>
              <w:rPr>
                <w:color w:val="000000"/>
              </w:rPr>
              <w:t>Conference Day</w:t>
            </w:r>
          </w:p>
        </w:tc>
      </w:tr>
    </w:tbl>
    <w:p w14:paraId="4CC0E465" w14:textId="77777777" w:rsidR="00B62DEE" w:rsidRDefault="00126A04">
      <w:pPr>
        <w:spacing w:before="120"/>
      </w:pPr>
      <w:r>
        <w:rPr>
          <w:i/>
          <w:iCs/>
          <w:color w:val="555555"/>
          <w:sz w:val="18"/>
          <w:szCs w:val="18"/>
        </w:rPr>
        <w:t>Note: Insert actual calendar dates once the conference schedule is finalized; the table above expresses relative timing from the call opening.</w:t>
      </w:r>
    </w:p>
    <w:p w14:paraId="1F06C1FF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8. How to Apply — Step-by-Step Submission Instructions</w:t>
      </w:r>
    </w:p>
    <w:p w14:paraId="614D1C2A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Prepare your case document strictly following the structure in Section 4 (single .docx or PDF, max 6 pages).</w:t>
      </w:r>
    </w:p>
    <w:p w14:paraId="047CC6EC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Name your files using the convention: LastName_Category_CaseTitleShort.docx (e.g., Elfishawi_A_HaploCordSwitch.pdf).</w:t>
      </w:r>
    </w:p>
    <w:p w14:paraId="41E81025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Compile your submission packet as a single email containing:</w:t>
      </w:r>
    </w:p>
    <w:p w14:paraId="7EC02F0F" w14:textId="77777777" w:rsidR="00B62DEE" w:rsidRDefault="00126A04">
      <w:pPr>
        <w:pStyle w:val="ListParagraph"/>
        <w:numPr>
          <w:ilvl w:val="1"/>
          <w:numId w:val="2"/>
        </w:numPr>
        <w:spacing w:after="60"/>
      </w:pPr>
      <w:r>
        <w:rPr>
          <w:sz w:val="21"/>
          <w:szCs w:val="21"/>
        </w:rPr>
        <w:t>Case document (Section 4 format)</w:t>
      </w:r>
    </w:p>
    <w:p w14:paraId="29F8358E" w14:textId="77777777" w:rsidR="00B62DEE" w:rsidRDefault="00126A04">
      <w:pPr>
        <w:pStyle w:val="ListParagraph"/>
        <w:numPr>
          <w:ilvl w:val="1"/>
          <w:numId w:val="2"/>
        </w:numPr>
        <w:spacing w:after="60"/>
      </w:pPr>
      <w:r>
        <w:rPr>
          <w:sz w:val="21"/>
          <w:szCs w:val="21"/>
        </w:rPr>
        <w:t xml:space="preserve">A completed Cover Sheet </w:t>
      </w:r>
      <w:proofErr w:type="gramStart"/>
      <w:r>
        <w:rPr>
          <w:sz w:val="21"/>
          <w:szCs w:val="21"/>
        </w:rPr>
        <w:t>with:</w:t>
      </w:r>
      <w:proofErr w:type="gramEnd"/>
      <w:r>
        <w:rPr>
          <w:sz w:val="21"/>
          <w:szCs w:val="21"/>
        </w:rPr>
        <w:t xml:space="preserve"> submitter name, institution, category (A/B/C), co-author list with affiliations, and a short (50-word) submitter biography</w:t>
      </w:r>
    </w:p>
    <w:p w14:paraId="322B650C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Send the complete packet by email to: Sally.elfishawi@nci.cu.edu.eg</w:t>
      </w:r>
    </w:p>
    <w:p w14:paraId="45D05CBE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Use the exact email subject line: "Case Competition Submission – Category [A/B/C] – [Submitter Last Name]" (e.g., "Case Competition Submission – Category B – Ahmed").</w:t>
      </w:r>
    </w:p>
    <w:p w14:paraId="6582C7A1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You will receive an email acknowledgment of receipt within 5 business days; if you do not receive one, please follow up to confirm delivery.</w:t>
      </w:r>
    </w:p>
    <w:p w14:paraId="653146D3" w14:textId="1978862D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Incomplete packets (exceeding page limit, or missing cover sheet) will not proceed to review; you will be notified once to allow resubmission before the deadline.</w:t>
      </w:r>
    </w:p>
    <w:p w14:paraId="2E76F69A" w14:textId="77777777" w:rsidR="00B62DEE" w:rsidRDefault="00126A04"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>Finalists will be notified by email and asked to confirm availability to present at the panel discussion and to prepare a short slide summary (template to be provided).</w:t>
      </w:r>
    </w:p>
    <w:p w14:paraId="24DF45A4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9. Recognition &amp; Awards</w:t>
      </w:r>
    </w:p>
    <w:p w14:paraId="247F7A4C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Top 3 cases per category (9 finalists total) present at the conference panel discussion session.</w:t>
      </w:r>
    </w:p>
    <w:p w14:paraId="498387A8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1st place per category: Certificate of Excellence + oral presentation with extended discussion time.</w:t>
      </w:r>
    </w:p>
    <w:p w14:paraId="55F80DE6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2nd and 3rd place per category: Certificate of Merit + oral presentation.</w:t>
      </w:r>
    </w:p>
    <w:p w14:paraId="283A108A" w14:textId="77777777" w:rsidR="00B62DEE" w:rsidRDefault="00126A04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All finalists receive a formal letter of recognition suitable for CV/portfolio inclusion.</w:t>
      </w:r>
    </w:p>
    <w:p w14:paraId="51FC3235" w14:textId="77777777" w:rsidR="00B62DEE" w:rsidRDefault="00126A04">
      <w:pPr>
        <w:pStyle w:val="Heading1"/>
        <w:pBdr>
          <w:bottom w:val="single" w:sz="6" w:space="4" w:color="1F3864"/>
        </w:pBdr>
        <w:spacing w:before="400" w:after="200"/>
      </w:pPr>
      <w:r>
        <w:rPr>
          <w:b/>
          <w:bCs/>
          <w:color w:val="1F3864"/>
          <w:sz w:val="28"/>
          <w:szCs w:val="28"/>
        </w:rPr>
        <w:t>10. Contact &amp; Submission Address</w:t>
      </w:r>
    </w:p>
    <w:p w14:paraId="531F0833" w14:textId="77777777" w:rsidR="00B62DEE" w:rsidRDefault="00126A04">
      <w:pPr>
        <w:spacing w:after="120"/>
      </w:pPr>
      <w:r>
        <w:rPr>
          <w:sz w:val="21"/>
          <w:szCs w:val="21"/>
        </w:rPr>
        <w:t xml:space="preserve">All submissions and inquiries should be directed </w:t>
      </w:r>
      <w:proofErr w:type="gramStart"/>
      <w:r>
        <w:rPr>
          <w:sz w:val="21"/>
          <w:szCs w:val="21"/>
        </w:rPr>
        <w:t>to</w:t>
      </w:r>
      <w:proofErr w:type="gramEnd"/>
      <w:r>
        <w:rPr>
          <w:sz w:val="21"/>
          <w:szCs w:val="21"/>
        </w:rPr>
        <w:t>:</w:t>
      </w:r>
    </w:p>
    <w:p w14:paraId="688A6A69" w14:textId="77777777" w:rsidR="00B62DEE" w:rsidRDefault="00126A04">
      <w:pPr>
        <w:spacing w:after="200"/>
      </w:pPr>
      <w:r>
        <w:rPr>
          <w:b/>
          <w:bCs/>
          <w:color w:val="1F3864"/>
          <w:sz w:val="24"/>
          <w:szCs w:val="24"/>
        </w:rPr>
        <w:t>Sally.elfishawi@nci.cu.edu.eg</w:t>
      </w:r>
    </w:p>
    <w:p w14:paraId="21212ED7" w14:textId="77777777" w:rsidR="00B62DEE" w:rsidRDefault="00126A04">
      <w:pPr>
        <w:spacing w:after="120"/>
      </w:pPr>
      <w:r>
        <w:rPr>
          <w:sz w:val="21"/>
          <w:szCs w:val="21"/>
        </w:rPr>
        <w:t>Please allow up to 5 business days for acknowledgment of receipt. For questions about eligibility, formatting, or the review process, use the same email address with subject line "Case Competition Inquiry."</w:t>
      </w:r>
    </w:p>
    <w:sectPr w:rsidR="00B62DEE">
      <w:footerReference w:type="default" r:id="rId7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C7E6F" w14:textId="77777777" w:rsidR="00126A04" w:rsidRDefault="00126A04">
      <w:r>
        <w:separator/>
      </w:r>
    </w:p>
  </w:endnote>
  <w:endnote w:type="continuationSeparator" w:id="0">
    <w:p w14:paraId="2305B582" w14:textId="77777777" w:rsidR="00126A04" w:rsidRDefault="0012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7F2E" w14:textId="77777777" w:rsidR="00B62DEE" w:rsidRDefault="00126A04"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661E56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661E56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2E410" w14:textId="77777777" w:rsidR="00126A04" w:rsidRDefault="00126A04">
      <w:r>
        <w:separator/>
      </w:r>
    </w:p>
  </w:footnote>
  <w:footnote w:type="continuationSeparator" w:id="0">
    <w:p w14:paraId="1C14BB43" w14:textId="77777777" w:rsidR="00126A04" w:rsidRDefault="00126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90D47"/>
    <w:multiLevelType w:val="hybridMultilevel"/>
    <w:tmpl w:val="434E66CC"/>
    <w:lvl w:ilvl="0" w:tplc="3488CDBA">
      <w:start w:val="1"/>
      <w:numFmt w:val="bullet"/>
      <w:lvlText w:val="•"/>
      <w:lvlJc w:val="left"/>
      <w:pPr>
        <w:ind w:left="360" w:hanging="260"/>
      </w:pPr>
    </w:lvl>
    <w:lvl w:ilvl="1" w:tplc="FDA8BE8C">
      <w:start w:val="1"/>
      <w:numFmt w:val="bullet"/>
      <w:lvlText w:val="◦"/>
      <w:lvlJc w:val="left"/>
      <w:pPr>
        <w:ind w:left="720" w:hanging="260"/>
      </w:pPr>
    </w:lvl>
    <w:lvl w:ilvl="2" w:tplc="7DE2E22C">
      <w:numFmt w:val="decimal"/>
      <w:lvlText w:val=""/>
      <w:lvlJc w:val="left"/>
    </w:lvl>
    <w:lvl w:ilvl="3" w:tplc="6ECCE044">
      <w:numFmt w:val="decimal"/>
      <w:lvlText w:val=""/>
      <w:lvlJc w:val="left"/>
    </w:lvl>
    <w:lvl w:ilvl="4" w:tplc="2772C900">
      <w:numFmt w:val="decimal"/>
      <w:lvlText w:val=""/>
      <w:lvlJc w:val="left"/>
    </w:lvl>
    <w:lvl w:ilvl="5" w:tplc="8D347042">
      <w:numFmt w:val="decimal"/>
      <w:lvlText w:val=""/>
      <w:lvlJc w:val="left"/>
    </w:lvl>
    <w:lvl w:ilvl="6" w:tplc="F2E86554">
      <w:numFmt w:val="decimal"/>
      <w:lvlText w:val=""/>
      <w:lvlJc w:val="left"/>
    </w:lvl>
    <w:lvl w:ilvl="7" w:tplc="CD0E503C">
      <w:numFmt w:val="decimal"/>
      <w:lvlText w:val=""/>
      <w:lvlJc w:val="left"/>
    </w:lvl>
    <w:lvl w:ilvl="8" w:tplc="74623CB2">
      <w:numFmt w:val="decimal"/>
      <w:lvlText w:val=""/>
      <w:lvlJc w:val="left"/>
    </w:lvl>
  </w:abstractNum>
  <w:abstractNum w:abstractNumId="1" w15:restartNumberingAfterBreak="0">
    <w:nsid w:val="2C3D61D6"/>
    <w:multiLevelType w:val="hybridMultilevel"/>
    <w:tmpl w:val="F5E8557A"/>
    <w:lvl w:ilvl="0" w:tplc="B1AA335A">
      <w:start w:val="1"/>
      <w:numFmt w:val="bullet"/>
      <w:lvlText w:val="●"/>
      <w:lvlJc w:val="left"/>
      <w:pPr>
        <w:ind w:left="720" w:hanging="360"/>
      </w:pPr>
    </w:lvl>
    <w:lvl w:ilvl="1" w:tplc="79CC0874">
      <w:start w:val="1"/>
      <w:numFmt w:val="bullet"/>
      <w:lvlText w:val="○"/>
      <w:lvlJc w:val="left"/>
      <w:pPr>
        <w:ind w:left="1440" w:hanging="360"/>
      </w:pPr>
    </w:lvl>
    <w:lvl w:ilvl="2" w:tplc="9886ECB2">
      <w:start w:val="1"/>
      <w:numFmt w:val="bullet"/>
      <w:lvlText w:val="■"/>
      <w:lvlJc w:val="left"/>
      <w:pPr>
        <w:ind w:left="2160" w:hanging="360"/>
      </w:pPr>
    </w:lvl>
    <w:lvl w:ilvl="3" w:tplc="05525982">
      <w:start w:val="1"/>
      <w:numFmt w:val="bullet"/>
      <w:lvlText w:val="●"/>
      <w:lvlJc w:val="left"/>
      <w:pPr>
        <w:ind w:left="2880" w:hanging="360"/>
      </w:pPr>
    </w:lvl>
    <w:lvl w:ilvl="4" w:tplc="2EE44AE8">
      <w:start w:val="1"/>
      <w:numFmt w:val="bullet"/>
      <w:lvlText w:val="○"/>
      <w:lvlJc w:val="left"/>
      <w:pPr>
        <w:ind w:left="3600" w:hanging="360"/>
      </w:pPr>
    </w:lvl>
    <w:lvl w:ilvl="5" w:tplc="05DE85E0">
      <w:start w:val="1"/>
      <w:numFmt w:val="bullet"/>
      <w:lvlText w:val="■"/>
      <w:lvlJc w:val="left"/>
      <w:pPr>
        <w:ind w:left="4320" w:hanging="360"/>
      </w:pPr>
    </w:lvl>
    <w:lvl w:ilvl="6" w:tplc="8D162B0E">
      <w:start w:val="1"/>
      <w:numFmt w:val="bullet"/>
      <w:lvlText w:val="●"/>
      <w:lvlJc w:val="left"/>
      <w:pPr>
        <w:ind w:left="5040" w:hanging="360"/>
      </w:pPr>
    </w:lvl>
    <w:lvl w:ilvl="7" w:tplc="39364A8A">
      <w:start w:val="1"/>
      <w:numFmt w:val="bullet"/>
      <w:lvlText w:val="●"/>
      <w:lvlJc w:val="left"/>
      <w:pPr>
        <w:ind w:left="5760" w:hanging="360"/>
      </w:pPr>
    </w:lvl>
    <w:lvl w:ilvl="8" w:tplc="1DA0E51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52B6E12"/>
    <w:multiLevelType w:val="hybridMultilevel"/>
    <w:tmpl w:val="11AC7966"/>
    <w:lvl w:ilvl="0" w:tplc="B5425822">
      <w:start w:val="1"/>
      <w:numFmt w:val="decimal"/>
      <w:lvlText w:val="%1."/>
      <w:lvlJc w:val="left"/>
      <w:pPr>
        <w:ind w:left="400" w:hanging="320"/>
      </w:pPr>
    </w:lvl>
    <w:lvl w:ilvl="1" w:tplc="8FC4D1B0">
      <w:numFmt w:val="decimal"/>
      <w:lvlText w:val=""/>
      <w:lvlJc w:val="left"/>
    </w:lvl>
    <w:lvl w:ilvl="2" w:tplc="C40233AA">
      <w:numFmt w:val="decimal"/>
      <w:lvlText w:val=""/>
      <w:lvlJc w:val="left"/>
    </w:lvl>
    <w:lvl w:ilvl="3" w:tplc="746CD9CA">
      <w:numFmt w:val="decimal"/>
      <w:lvlText w:val=""/>
      <w:lvlJc w:val="left"/>
    </w:lvl>
    <w:lvl w:ilvl="4" w:tplc="A3B6E836">
      <w:numFmt w:val="decimal"/>
      <w:lvlText w:val=""/>
      <w:lvlJc w:val="left"/>
    </w:lvl>
    <w:lvl w:ilvl="5" w:tplc="F6F6BE1C">
      <w:numFmt w:val="decimal"/>
      <w:lvlText w:val=""/>
      <w:lvlJc w:val="left"/>
    </w:lvl>
    <w:lvl w:ilvl="6" w:tplc="BEDEE368">
      <w:numFmt w:val="decimal"/>
      <w:lvlText w:val=""/>
      <w:lvlJc w:val="left"/>
    </w:lvl>
    <w:lvl w:ilvl="7" w:tplc="91943ECC">
      <w:numFmt w:val="decimal"/>
      <w:lvlText w:val=""/>
      <w:lvlJc w:val="left"/>
    </w:lvl>
    <w:lvl w:ilvl="8" w:tplc="6B4A7F00">
      <w:numFmt w:val="decimal"/>
      <w:lvlText w:val=""/>
      <w:lvlJc w:val="left"/>
    </w:lvl>
  </w:abstractNum>
  <w:num w:numId="1" w16cid:durableId="719014933">
    <w:abstractNumId w:val="1"/>
    <w:lvlOverride w:ilvl="0">
      <w:startOverride w:val="1"/>
    </w:lvlOverride>
  </w:num>
  <w:num w:numId="2" w16cid:durableId="371001707">
    <w:abstractNumId w:val="0"/>
    <w:lvlOverride w:ilvl="0">
      <w:startOverride w:val="1"/>
    </w:lvlOverride>
  </w:num>
  <w:num w:numId="3" w16cid:durableId="8350349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DEE"/>
    <w:rsid w:val="00005FE5"/>
    <w:rsid w:val="00126A04"/>
    <w:rsid w:val="0025659B"/>
    <w:rsid w:val="00305659"/>
    <w:rsid w:val="00661E56"/>
    <w:rsid w:val="00B62DEE"/>
    <w:rsid w:val="00E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A6FC2"/>
  <w15:docId w15:val="{944CFD8A-E5CE-451E-85BD-044EF37B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5F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FE5"/>
  </w:style>
  <w:style w:type="paragraph" w:styleId="Footer">
    <w:name w:val="footer"/>
    <w:basedOn w:val="Normal"/>
    <w:link w:val="FooterChar"/>
    <w:uiPriority w:val="99"/>
    <w:unhideWhenUsed/>
    <w:rsid w:val="00005F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1799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sally elfishawi</cp:lastModifiedBy>
  <cp:revision>3</cp:revision>
  <dcterms:created xsi:type="dcterms:W3CDTF">2026-08-26T12:28:00Z</dcterms:created>
  <dcterms:modified xsi:type="dcterms:W3CDTF">2026-09-01T15:50:00Z</dcterms:modified>
</cp:coreProperties>
</file>